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3DC1E2" w14:textId="77777777" w:rsidR="005978A8" w:rsidRDefault="005978A8"/>
    <w:p w14:paraId="1943F7EF" w14:textId="77777777" w:rsidR="005978A8" w:rsidRDefault="005978A8"/>
    <w:p w14:paraId="5F8B56D3" w14:textId="77777777" w:rsidR="005978A8" w:rsidRDefault="005978A8" w:rsidP="005978A8">
      <w:proofErr w:type="gramStart"/>
      <w:r w:rsidRPr="00974137">
        <w:rPr>
          <w:rFonts w:ascii="Arial" w:hAnsi="Arial" w:cs="Arial"/>
          <w:sz w:val="22"/>
          <w:szCs w:val="22"/>
        </w:rPr>
        <w:t>Church of Sainte-Foy.</w:t>
      </w:r>
      <w:proofErr w:type="gramEnd"/>
      <w:r w:rsidRPr="00974137">
        <w:rPr>
          <w:rFonts w:ascii="Arial" w:hAnsi="Arial" w:cs="Arial"/>
          <w:sz w:val="22"/>
          <w:szCs w:val="22"/>
        </w:rPr>
        <w:t xml:space="preserve"> </w:t>
      </w:r>
      <w:proofErr w:type="spellStart"/>
      <w:r w:rsidRPr="00974137">
        <w:rPr>
          <w:rFonts w:ascii="Arial" w:hAnsi="Arial" w:cs="Arial"/>
          <w:sz w:val="22"/>
          <w:szCs w:val="22"/>
        </w:rPr>
        <w:t>Conques</w:t>
      </w:r>
      <w:proofErr w:type="spellEnd"/>
      <w:r w:rsidRPr="00974137">
        <w:rPr>
          <w:rFonts w:ascii="Arial" w:hAnsi="Arial" w:cs="Arial"/>
          <w:sz w:val="22"/>
          <w:szCs w:val="22"/>
        </w:rPr>
        <w:t>, France. Chu</w:t>
      </w:r>
      <w:r w:rsidR="006F6F05">
        <w:rPr>
          <w:rFonts w:ascii="Arial" w:hAnsi="Arial" w:cs="Arial"/>
          <w:sz w:val="22"/>
          <w:szCs w:val="22"/>
        </w:rPr>
        <w:t>r</w:t>
      </w:r>
      <w:r w:rsidRPr="00974137">
        <w:rPr>
          <w:rFonts w:ascii="Arial" w:hAnsi="Arial" w:cs="Arial"/>
          <w:sz w:val="22"/>
          <w:szCs w:val="22"/>
        </w:rPr>
        <w:t>ch: c 1050-1130 C.E.</w:t>
      </w:r>
      <w:proofErr w:type="gramStart"/>
      <w:r w:rsidRPr="00974137">
        <w:rPr>
          <w:rFonts w:ascii="Arial" w:hAnsi="Arial" w:cs="Arial"/>
          <w:sz w:val="22"/>
          <w:szCs w:val="22"/>
        </w:rPr>
        <w:t>;</w:t>
      </w:r>
      <w:proofErr w:type="gramEnd"/>
      <w:r w:rsidRPr="00974137">
        <w:rPr>
          <w:rFonts w:ascii="Arial" w:hAnsi="Arial" w:cs="Arial"/>
          <w:sz w:val="22"/>
          <w:szCs w:val="22"/>
        </w:rPr>
        <w:t xml:space="preserve"> Reliquary of Saint Foy: ninth century C.E., with later additions. Stone (architecture); stone and paint (tympanum); gold, silver, gemstones, and enamel over wood (reliquary)</w:t>
      </w:r>
      <w:r w:rsidRPr="00974137">
        <w:t>.</w:t>
      </w:r>
      <w:r>
        <w:rPr>
          <w:noProof/>
        </w:rPr>
        <w:drawing>
          <wp:anchor distT="0" distB="0" distL="114300" distR="114300" simplePos="0" relativeHeight="251668480" behindDoc="0" locked="0" layoutInCell="1" allowOverlap="1" wp14:anchorId="5495E708" wp14:editId="15CD0636">
            <wp:simplePos x="0" y="0"/>
            <wp:positionH relativeFrom="column">
              <wp:posOffset>1662430</wp:posOffset>
            </wp:positionH>
            <wp:positionV relativeFrom="paragraph">
              <wp:posOffset>-568960</wp:posOffset>
            </wp:positionV>
            <wp:extent cx="2732405" cy="1682750"/>
            <wp:effectExtent l="0" t="0" r="10795" b="0"/>
            <wp:wrapSquare wrapText="bothSides"/>
            <wp:docPr id="17" name="Picture 17" descr="Macintosh HD:Users:teacher:Desktop:orname_net_047-600x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orname_net_047-600x36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3240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7573F319" wp14:editId="7C41E9BC">
            <wp:simplePos x="0" y="0"/>
            <wp:positionH relativeFrom="column">
              <wp:posOffset>3886200</wp:posOffset>
            </wp:positionH>
            <wp:positionV relativeFrom="paragraph">
              <wp:posOffset>-568960</wp:posOffset>
            </wp:positionV>
            <wp:extent cx="2732405" cy="1682750"/>
            <wp:effectExtent l="0" t="0" r="10795" b="0"/>
            <wp:wrapSquare wrapText="bothSides"/>
            <wp:docPr id="18" name="Picture 18" descr="Macintosh HD:Users:teacher:Desktop:orname_net_047-600x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orname_net_047-600x36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3240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07B0C19E" wp14:editId="230088AA">
            <wp:simplePos x="0" y="0"/>
            <wp:positionH relativeFrom="column">
              <wp:posOffset>-1080770</wp:posOffset>
            </wp:positionH>
            <wp:positionV relativeFrom="paragraph">
              <wp:posOffset>-568960</wp:posOffset>
            </wp:positionV>
            <wp:extent cx="2732405" cy="1682750"/>
            <wp:effectExtent l="0" t="0" r="10795" b="0"/>
            <wp:wrapSquare wrapText="bothSides"/>
            <wp:docPr id="19" name="Picture 19" descr="Macintosh HD:Users:teacher:Desktop:orname_net_047-600x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orname_net_047-600x36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3240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14:anchorId="6687B96C" wp14:editId="7FE15200">
                <wp:simplePos x="0" y="0"/>
                <wp:positionH relativeFrom="column">
                  <wp:posOffset>-634365</wp:posOffset>
                </wp:positionH>
                <wp:positionV relativeFrom="paragraph">
                  <wp:posOffset>1259840</wp:posOffset>
                </wp:positionV>
                <wp:extent cx="6743700" cy="8001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6743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0F5516" w14:textId="2EFA2C4D" w:rsidR="00E762BC" w:rsidRPr="00D12B20" w:rsidRDefault="00E762BC" w:rsidP="005978A8">
                            <w:pPr>
                              <w:rPr>
                                <w:rFonts w:ascii="Charlemagne Std Bold" w:hAnsi="Charlemagne Std Bold" w:cs="Apple Chancery"/>
                                <w:color w:val="000000" w:themeColor="text1"/>
                                <w:sz w:val="32"/>
                                <w:szCs w:val="32"/>
                              </w:rPr>
                            </w:pPr>
                            <w:r w:rsidRPr="00D12B20">
                              <w:rPr>
                                <w:rFonts w:ascii="Charlemagne Std Bold" w:hAnsi="Charlemagne Std Bold" w:cs="Apple Chancery"/>
                                <w:color w:val="000000" w:themeColor="text1"/>
                                <w:sz w:val="32"/>
                                <w:szCs w:val="32"/>
                                <w:lang w:eastAsia="ja-JP"/>
                              </w:rPr>
                              <w:t>Early Europe and Colonial Americas Module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26" type="#_x0000_t202" style="position:absolute;margin-left:-49.9pt;margin-top:99.2pt;width:531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" filled="f" stroked="f">
                <v:textbox>
                  <w:txbxContent>
                    <w:p w14:paraId="6A0F5516" w14:textId="2EFA2C4D" w:rsidR="00E762BC" w:rsidRPr="00D12B20" w:rsidRDefault="00E762BC" w:rsidP="005978A8">
                      <w:pPr>
                        <w:rPr>
                          <w:rFonts w:ascii="Charlemagne Std Bold" w:hAnsi="Charlemagne Std Bold" w:cs="Apple Chancery"/>
                          <w:color w:val="000000" w:themeColor="text1"/>
                          <w:sz w:val="32"/>
                          <w:szCs w:val="32"/>
                        </w:rPr>
                      </w:pPr>
                      <w:r w:rsidRPr="00D12B20">
                        <w:rPr>
                          <w:rFonts w:ascii="Charlemagne Std Bold" w:hAnsi="Charlemagne Std Bold" w:cs="Apple Chancery"/>
                          <w:color w:val="000000" w:themeColor="text1"/>
                          <w:sz w:val="32"/>
                          <w:szCs w:val="32"/>
                          <w:lang w:eastAsia="ja-JP"/>
                        </w:rPr>
                        <w:t>Early Europe and Colonial Americas Module ONE</w:t>
                      </w:r>
                    </w:p>
                  </w:txbxContent>
                </v:textbox>
                <w10:wrap type="square"/>
              </v:shape>
            </w:pict>
          </mc:Fallback>
        </mc:AlternateContent>
      </w:r>
    </w:p>
    <w:p w14:paraId="7F8ED608" w14:textId="77777777" w:rsidR="006F6F05" w:rsidRDefault="006F6F05"/>
    <w:p w14:paraId="516AFFD9" w14:textId="74DE62F1" w:rsidR="006F6F05" w:rsidRDefault="006F6F05">
      <w:r>
        <w:rPr>
          <w:noProof/>
        </w:rPr>
        <w:drawing>
          <wp:anchor distT="0" distB="0" distL="114300" distR="114300" simplePos="0" relativeHeight="251664384" behindDoc="0" locked="0" layoutInCell="1" allowOverlap="1" wp14:anchorId="0213CE2D" wp14:editId="4CD957B5">
            <wp:simplePos x="0" y="0"/>
            <wp:positionH relativeFrom="column">
              <wp:posOffset>-405765</wp:posOffset>
            </wp:positionH>
            <wp:positionV relativeFrom="paragraph">
              <wp:posOffset>100330</wp:posOffset>
            </wp:positionV>
            <wp:extent cx="2171700" cy="2895600"/>
            <wp:effectExtent l="0" t="0" r="12700" b="0"/>
            <wp:wrapSquare wrapText="bothSides"/>
            <wp:docPr id="6" name="Picture 6" descr="Macintosh HD:Users:teacher:Desktop:Module 5:stf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eacher:Desktop:Module 5:stfo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17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350B7" w14:textId="734F7178" w:rsidR="001C3D6C" w:rsidRPr="001C3D6C" w:rsidRDefault="001C3D6C" w:rsidP="001C3D6C">
      <w:pPr>
        <w:rPr>
          <w:rFonts w:ascii="Arial" w:hAnsi="Arial" w:cs="Arial"/>
          <w:sz w:val="22"/>
          <w:szCs w:val="22"/>
        </w:rPr>
      </w:pPr>
      <w:r w:rsidRPr="001C3D6C">
        <w:rPr>
          <w:rFonts w:ascii="Arial" w:hAnsi="Arial" w:cs="Arial"/>
          <w:sz w:val="22"/>
          <w:szCs w:val="22"/>
        </w:rPr>
        <w:t xml:space="preserve">During </w:t>
      </w:r>
      <w:r>
        <w:rPr>
          <w:rFonts w:ascii="Arial" w:hAnsi="Arial" w:cs="Arial"/>
          <w:sz w:val="22"/>
          <w:szCs w:val="22"/>
        </w:rPr>
        <w:t xml:space="preserve">the Romanesque Period </w:t>
      </w:r>
      <w:r w:rsidRPr="001C3D6C">
        <w:rPr>
          <w:rFonts w:ascii="Arial" w:hAnsi="Arial" w:cs="Arial"/>
          <w:sz w:val="22"/>
          <w:szCs w:val="22"/>
        </w:rPr>
        <w:t>in Europe</w:t>
      </w:r>
      <w:r>
        <w:rPr>
          <w:rFonts w:ascii="Arial" w:hAnsi="Arial" w:cs="Arial"/>
          <w:sz w:val="22"/>
          <w:szCs w:val="22"/>
        </w:rPr>
        <w:t>,</w:t>
      </w:r>
      <w:r w:rsidRPr="001C3D6C">
        <w:rPr>
          <w:rFonts w:ascii="Arial" w:hAnsi="Arial" w:cs="Arial"/>
          <w:sz w:val="22"/>
          <w:szCs w:val="22"/>
        </w:rPr>
        <w:t xml:space="preserve"> there was a very large interest in religion.  Large numbers of people traveled on pilgrimages to visit sites of saints and martyrs.  People believed that holy relics had the power to do miracles. </w:t>
      </w:r>
      <w:r w:rsidRPr="001C3D6C">
        <w:rPr>
          <w:rFonts w:ascii="Arial" w:hAnsi="Arial" w:cs="Arial"/>
          <w:sz w:val="22"/>
          <w:szCs w:val="22"/>
          <w:lang w:val="en-GB"/>
        </w:rPr>
        <w:t xml:space="preserve">The most popular destination was Santiago de </w:t>
      </w:r>
      <w:proofErr w:type="spellStart"/>
      <w:r w:rsidRPr="001C3D6C">
        <w:rPr>
          <w:rFonts w:ascii="Arial" w:hAnsi="Arial" w:cs="Arial"/>
          <w:sz w:val="22"/>
          <w:szCs w:val="22"/>
          <w:lang w:val="en-GB"/>
        </w:rPr>
        <w:t>Compostela</w:t>
      </w:r>
      <w:proofErr w:type="spellEnd"/>
      <w:r w:rsidRPr="001C3D6C">
        <w:rPr>
          <w:rFonts w:ascii="Arial" w:hAnsi="Arial" w:cs="Arial"/>
          <w:sz w:val="22"/>
          <w:szCs w:val="22"/>
          <w:lang w:val="en-GB"/>
        </w:rPr>
        <w:t xml:space="preserve"> in northwest Spain.  Pilgrimages were big business: certainly on a par with modern day tourism.  In the thirteenth </w:t>
      </w:r>
      <w:r>
        <w:rPr>
          <w:rFonts w:ascii="Arial" w:hAnsi="Arial" w:cs="Arial"/>
          <w:sz w:val="22"/>
          <w:szCs w:val="22"/>
          <w:lang w:val="en-GB"/>
        </w:rPr>
        <w:t>century,</w:t>
      </w:r>
      <w:r w:rsidRPr="001C3D6C">
        <w:rPr>
          <w:rFonts w:ascii="Arial" w:hAnsi="Arial" w:cs="Arial"/>
          <w:sz w:val="22"/>
          <w:szCs w:val="22"/>
          <w:lang w:val="en-GB"/>
        </w:rPr>
        <w:t xml:space="preserve"> many as 60% of the people with any significant wealth went on pilgrimages.   Many churches were built along the pilgrimage routes and many were specially designed to cope with vast numbers of people</w:t>
      </w:r>
    </w:p>
    <w:p w14:paraId="4B0C6501" w14:textId="0F2CF2DC" w:rsidR="001C3D6C" w:rsidRPr="001C3D6C" w:rsidRDefault="001C3D6C" w:rsidP="001C3D6C">
      <w:pPr>
        <w:rPr>
          <w:rFonts w:ascii="Arial" w:hAnsi="Arial" w:cs="Arial"/>
          <w:sz w:val="22"/>
          <w:szCs w:val="22"/>
        </w:rPr>
      </w:pPr>
      <w:r w:rsidRPr="001C3D6C">
        <w:rPr>
          <w:rFonts w:ascii="Arial" w:hAnsi="Arial" w:cs="Arial"/>
          <w:sz w:val="22"/>
          <w:szCs w:val="22"/>
        </w:rPr>
        <w:t xml:space="preserve">The routes to the more famous holy places, such as Santiago, became very well traveled and required larger buildings to hold the large crowds.   The basilica style church could not hold the large crowds, which were coming.  They began to build churches in the shape of the Latin cross.   The pilgrim would enter the church through the nave.  They would then come to the area known as the crossing, which was under a groin vault, where the vaults of the nave and the transepts would intersect.  The relics of the church would be held and displayed in the area of the high alter.  The pilgrims would be allowed to view the relics from the ambulatory, which allowed for a good traffic pattern for these large crowds.  The more famous the relics a church held, the larger the crowds it would attract. </w:t>
      </w:r>
    </w:p>
    <w:p w14:paraId="10E6014D" w14:textId="77777777" w:rsidR="006F6F05" w:rsidRDefault="006F6F05"/>
    <w:p w14:paraId="62CC95CD" w14:textId="77777777" w:rsidR="006F6F05" w:rsidRDefault="006F6F05"/>
    <w:p w14:paraId="5D9BC777" w14:textId="77777777" w:rsidR="006F6F05" w:rsidRDefault="006F6F05"/>
    <w:p w14:paraId="3C4012F2" w14:textId="77777777" w:rsidR="006F6F05" w:rsidRDefault="006F6F05"/>
    <w:p w14:paraId="3665F67D" w14:textId="1B9EC080" w:rsidR="001C3D6C" w:rsidRDefault="00750268" w:rsidP="001C3D6C">
      <w:pPr>
        <w:rPr>
          <w:rFonts w:ascii="Arial" w:hAnsi="Arial" w:cs="Arial"/>
          <w:sz w:val="22"/>
          <w:szCs w:val="22"/>
        </w:rPr>
      </w:pPr>
      <w:r w:rsidRPr="00750268">
        <w:rPr>
          <w:rFonts w:ascii="Arial" w:hAnsi="Arial" w:cs="Arial"/>
          <w:sz w:val="22"/>
          <w:szCs w:val="22"/>
        </w:rPr>
        <w:lastRenderedPageBreak/>
        <w:drawing>
          <wp:anchor distT="0" distB="0" distL="114300" distR="114300" simplePos="0" relativeHeight="251672576" behindDoc="0" locked="0" layoutInCell="1" allowOverlap="1" wp14:anchorId="5E5F75E4" wp14:editId="325BFC0E">
            <wp:simplePos x="0" y="0"/>
            <wp:positionH relativeFrom="column">
              <wp:posOffset>51435</wp:posOffset>
            </wp:positionH>
            <wp:positionV relativeFrom="paragraph">
              <wp:posOffset>-111760</wp:posOffset>
            </wp:positionV>
            <wp:extent cx="1755775" cy="2686685"/>
            <wp:effectExtent l="0" t="0" r="0" b="5715"/>
            <wp:wrapSquare wrapText="bothSides"/>
            <wp:docPr id="2" name="Picture 1" descr="Abbatiale_Sainte-Foy_de_Conques_pla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bbatiale_Sainte-Foy_de_Conques_plan_01.jp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755775" cy="2686685"/>
                    </a:xfrm>
                    <a:prstGeom prst="rect">
                      <a:avLst/>
                    </a:prstGeom>
                  </pic:spPr>
                </pic:pic>
              </a:graphicData>
            </a:graphic>
            <wp14:sizeRelH relativeFrom="page">
              <wp14:pctWidth>0</wp14:pctWidth>
            </wp14:sizeRelH>
            <wp14:sizeRelV relativeFrom="page">
              <wp14:pctHeight>0</wp14:pctHeight>
            </wp14:sizeRelV>
          </wp:anchor>
        </w:drawing>
      </w:r>
      <w:r w:rsidR="001C3D6C" w:rsidRPr="001C3D6C">
        <w:rPr>
          <w:rFonts w:ascii="Arial" w:hAnsi="Arial" w:cs="Arial"/>
          <w:sz w:val="22"/>
          <w:szCs w:val="22"/>
        </w:rPr>
        <w:t>Sainte Foy</w:t>
      </w:r>
      <w:r w:rsidR="001C3D6C" w:rsidRPr="001C3D6C">
        <w:rPr>
          <w:rFonts w:ascii="Arial" w:hAnsi="Arial" w:cs="Arial"/>
          <w:b/>
          <w:bCs/>
          <w:sz w:val="22"/>
          <w:szCs w:val="22"/>
        </w:rPr>
        <w:t xml:space="preserve"> </w:t>
      </w:r>
      <w:r w:rsidR="001C3D6C" w:rsidRPr="001C3D6C">
        <w:rPr>
          <w:rFonts w:ascii="Arial" w:hAnsi="Arial" w:cs="Arial"/>
          <w:bCs/>
          <w:sz w:val="22"/>
          <w:szCs w:val="22"/>
        </w:rPr>
        <w:t>has a</w:t>
      </w:r>
      <w:r w:rsidR="001C3D6C" w:rsidRPr="001C3D6C">
        <w:rPr>
          <w:rFonts w:ascii="Arial" w:hAnsi="Arial" w:cs="Arial"/>
          <w:b/>
          <w:bCs/>
          <w:sz w:val="22"/>
          <w:szCs w:val="22"/>
        </w:rPr>
        <w:t xml:space="preserve"> cruciform plan</w:t>
      </w:r>
      <w:r w:rsidR="001C3D6C" w:rsidRPr="001C3D6C">
        <w:rPr>
          <w:rFonts w:ascii="Arial" w:hAnsi="Arial" w:cs="Arial"/>
          <w:sz w:val="22"/>
          <w:szCs w:val="22"/>
        </w:rPr>
        <w:t xml:space="preserve">, includes a three-aisled </w:t>
      </w:r>
      <w:r w:rsidR="001C3D6C" w:rsidRPr="001C3D6C">
        <w:rPr>
          <w:rFonts w:ascii="Arial" w:hAnsi="Arial" w:cs="Arial"/>
          <w:b/>
          <w:bCs/>
          <w:sz w:val="22"/>
          <w:szCs w:val="22"/>
        </w:rPr>
        <w:t xml:space="preserve">nave </w:t>
      </w:r>
      <w:r w:rsidR="001C3D6C" w:rsidRPr="001C3D6C">
        <w:rPr>
          <w:rFonts w:ascii="Arial" w:hAnsi="Arial" w:cs="Arial"/>
          <w:sz w:val="22"/>
          <w:szCs w:val="22"/>
        </w:rPr>
        <w:t xml:space="preserve">with a </w:t>
      </w:r>
      <w:r w:rsidR="001C3D6C" w:rsidRPr="001C3D6C">
        <w:rPr>
          <w:rFonts w:ascii="Arial" w:hAnsi="Arial" w:cs="Arial"/>
          <w:b/>
          <w:bCs/>
          <w:sz w:val="22"/>
          <w:szCs w:val="22"/>
        </w:rPr>
        <w:t>central vessel</w:t>
      </w:r>
      <w:r w:rsidR="001C3D6C" w:rsidRPr="001C3D6C">
        <w:rPr>
          <w:rFonts w:ascii="Arial" w:hAnsi="Arial" w:cs="Arial"/>
          <w:sz w:val="22"/>
          <w:szCs w:val="22"/>
        </w:rPr>
        <w:t xml:space="preserve"> and two side aisles on each side. A strongly projecting </w:t>
      </w:r>
      <w:r w:rsidR="001C3D6C" w:rsidRPr="001C3D6C">
        <w:rPr>
          <w:rFonts w:ascii="Arial" w:hAnsi="Arial" w:cs="Arial"/>
          <w:b/>
          <w:bCs/>
          <w:sz w:val="22"/>
          <w:szCs w:val="22"/>
        </w:rPr>
        <w:t xml:space="preserve">transept </w:t>
      </w:r>
      <w:r w:rsidR="001C3D6C" w:rsidRPr="001C3D6C">
        <w:rPr>
          <w:rFonts w:ascii="Arial" w:hAnsi="Arial" w:cs="Arial"/>
          <w:sz w:val="22"/>
          <w:szCs w:val="22"/>
        </w:rPr>
        <w:t xml:space="preserve">is also aisled with two chapels off the eastern side of each arm. To the east of the transept is the </w:t>
      </w:r>
      <w:r w:rsidR="001C3D6C" w:rsidRPr="001C3D6C">
        <w:rPr>
          <w:rFonts w:ascii="Arial" w:hAnsi="Arial" w:cs="Arial"/>
          <w:b/>
          <w:bCs/>
          <w:sz w:val="22"/>
          <w:szCs w:val="22"/>
        </w:rPr>
        <w:t>choir</w:t>
      </w:r>
      <w:r w:rsidR="001C3D6C" w:rsidRPr="001C3D6C">
        <w:rPr>
          <w:rFonts w:ascii="Arial" w:hAnsi="Arial" w:cs="Arial"/>
          <w:sz w:val="22"/>
          <w:szCs w:val="22"/>
        </w:rPr>
        <w:t xml:space="preserve"> that includes an </w:t>
      </w:r>
      <w:r w:rsidR="001C3D6C" w:rsidRPr="001C3D6C">
        <w:rPr>
          <w:rFonts w:ascii="Arial" w:hAnsi="Arial" w:cs="Arial"/>
          <w:b/>
          <w:bCs/>
          <w:sz w:val="22"/>
          <w:szCs w:val="22"/>
        </w:rPr>
        <w:t xml:space="preserve">ambulatory </w:t>
      </w:r>
      <w:r w:rsidR="001C3D6C" w:rsidRPr="001C3D6C">
        <w:rPr>
          <w:rFonts w:ascii="Arial" w:hAnsi="Arial" w:cs="Arial"/>
          <w:sz w:val="22"/>
          <w:szCs w:val="22"/>
        </w:rPr>
        <w:t xml:space="preserve">and three </w:t>
      </w:r>
      <w:r w:rsidR="001C3D6C" w:rsidRPr="001C3D6C">
        <w:rPr>
          <w:rFonts w:ascii="Arial" w:hAnsi="Arial" w:cs="Arial"/>
          <w:b/>
          <w:bCs/>
          <w:sz w:val="22"/>
          <w:szCs w:val="22"/>
        </w:rPr>
        <w:t xml:space="preserve">radiating </w:t>
      </w:r>
      <w:proofErr w:type="gramStart"/>
      <w:r w:rsidR="001C3D6C" w:rsidRPr="001C3D6C">
        <w:rPr>
          <w:rFonts w:ascii="Arial" w:hAnsi="Arial" w:cs="Arial"/>
          <w:b/>
          <w:bCs/>
          <w:sz w:val="22"/>
          <w:szCs w:val="22"/>
        </w:rPr>
        <w:t>chapels.</w:t>
      </w:r>
      <w:proofErr w:type="gramEnd"/>
      <w:r w:rsidR="001C3D6C" w:rsidRPr="001C3D6C">
        <w:rPr>
          <w:rFonts w:ascii="Arial" w:hAnsi="Arial" w:cs="Arial"/>
          <w:sz w:val="22"/>
          <w:szCs w:val="22"/>
        </w:rPr>
        <w:t xml:space="preserve"> The aisles in the nave, transept, and choir (ambulatory) permit the pilgrim to circumambulate the entire church without entering the central </w:t>
      </w:r>
      <w:proofErr w:type="spellStart"/>
      <w:r>
        <w:rPr>
          <w:rFonts w:ascii="Arial" w:hAnsi="Arial" w:cs="Arial"/>
          <w:sz w:val="22"/>
          <w:szCs w:val="22"/>
        </w:rPr>
        <w:t>altarspace</w:t>
      </w:r>
      <w:proofErr w:type="spellEnd"/>
      <w:r>
        <w:rPr>
          <w:rFonts w:ascii="Arial" w:hAnsi="Arial" w:cs="Arial"/>
          <w:sz w:val="22"/>
          <w:szCs w:val="22"/>
        </w:rPr>
        <w:t>.</w:t>
      </w:r>
    </w:p>
    <w:p w14:paraId="7D3370AA" w14:textId="77777777" w:rsidR="001C3D6C" w:rsidRPr="001C3D6C" w:rsidRDefault="001C3D6C" w:rsidP="001C3D6C">
      <w:pPr>
        <w:rPr>
          <w:rFonts w:ascii="Arial" w:hAnsi="Arial" w:cs="Arial"/>
          <w:sz w:val="22"/>
          <w:szCs w:val="22"/>
        </w:rPr>
      </w:pPr>
    </w:p>
    <w:p w14:paraId="00ADF580" w14:textId="77777777" w:rsidR="001C3D6C" w:rsidRDefault="001C3D6C" w:rsidP="001C3D6C">
      <w:pPr>
        <w:rPr>
          <w:rFonts w:ascii="Arial" w:hAnsi="Arial" w:cs="Arial"/>
          <w:sz w:val="22"/>
          <w:szCs w:val="22"/>
        </w:rPr>
      </w:pPr>
      <w:r w:rsidRPr="001C3D6C">
        <w:rPr>
          <w:rFonts w:ascii="Arial" w:hAnsi="Arial" w:cs="Arial"/>
          <w:sz w:val="22"/>
          <w:szCs w:val="22"/>
        </w:rPr>
        <w:t xml:space="preserve"> The eastern portions of the choir are constructed above a </w:t>
      </w:r>
      <w:r w:rsidRPr="001C3D6C">
        <w:rPr>
          <w:rFonts w:ascii="Arial" w:hAnsi="Arial" w:cs="Arial"/>
          <w:b/>
          <w:bCs/>
          <w:sz w:val="22"/>
          <w:szCs w:val="22"/>
        </w:rPr>
        <w:t>crypt</w:t>
      </w:r>
      <w:r w:rsidRPr="001C3D6C">
        <w:rPr>
          <w:rFonts w:ascii="Arial" w:hAnsi="Arial" w:cs="Arial"/>
          <w:sz w:val="22"/>
          <w:szCs w:val="22"/>
        </w:rPr>
        <w:t xml:space="preserve">. Because of the more complex arrangement of spaces, the portion east of the transept in the Romanesque period is referred to as the </w:t>
      </w:r>
      <w:r w:rsidRPr="001C3D6C">
        <w:rPr>
          <w:rFonts w:ascii="Arial" w:hAnsi="Arial" w:cs="Arial"/>
          <w:b/>
          <w:bCs/>
          <w:sz w:val="22"/>
          <w:szCs w:val="22"/>
        </w:rPr>
        <w:t>choir</w:t>
      </w:r>
      <w:r w:rsidRPr="001C3D6C">
        <w:rPr>
          <w:rFonts w:ascii="Arial" w:hAnsi="Arial" w:cs="Arial"/>
          <w:sz w:val="22"/>
          <w:szCs w:val="22"/>
        </w:rPr>
        <w:t xml:space="preserve"> rather than </w:t>
      </w:r>
      <w:r w:rsidRPr="001C3D6C">
        <w:rPr>
          <w:rFonts w:ascii="Arial" w:hAnsi="Arial" w:cs="Arial"/>
          <w:b/>
          <w:bCs/>
          <w:sz w:val="22"/>
          <w:szCs w:val="22"/>
        </w:rPr>
        <w:t>apse</w:t>
      </w:r>
      <w:r w:rsidRPr="001C3D6C">
        <w:rPr>
          <w:rFonts w:ascii="Arial" w:hAnsi="Arial" w:cs="Arial"/>
          <w:sz w:val="22"/>
          <w:szCs w:val="22"/>
        </w:rPr>
        <w:t xml:space="preserve">, the term used to describe the semicircular space east of an Early Christian or Byzantine transept or nave. </w:t>
      </w:r>
    </w:p>
    <w:p w14:paraId="344BB502" w14:textId="77777777" w:rsidR="00750268" w:rsidRPr="001C3D6C" w:rsidRDefault="00750268" w:rsidP="001C3D6C">
      <w:pPr>
        <w:rPr>
          <w:rFonts w:ascii="Arial" w:hAnsi="Arial" w:cs="Arial"/>
          <w:sz w:val="22"/>
          <w:szCs w:val="22"/>
        </w:rPr>
      </w:pPr>
    </w:p>
    <w:p w14:paraId="2CAFEC0B" w14:textId="77777777" w:rsidR="001C3D6C" w:rsidRPr="001C3D6C" w:rsidRDefault="001C3D6C" w:rsidP="001C3D6C">
      <w:pPr>
        <w:rPr>
          <w:rFonts w:ascii="Arial" w:hAnsi="Arial" w:cs="Arial"/>
          <w:sz w:val="22"/>
          <w:szCs w:val="22"/>
        </w:rPr>
      </w:pPr>
      <w:r w:rsidRPr="001C3D6C">
        <w:rPr>
          <w:rFonts w:ascii="Arial" w:hAnsi="Arial" w:cs="Arial"/>
          <w:sz w:val="22"/>
          <w:szCs w:val="22"/>
        </w:rPr>
        <w:t xml:space="preserve">The transept crossing piers and western nave piers are enlarged to support towers. </w:t>
      </w:r>
    </w:p>
    <w:p w14:paraId="73FF32D8" w14:textId="0092CC98" w:rsidR="001C3D6C" w:rsidRPr="001C3D6C" w:rsidRDefault="001C3D6C" w:rsidP="001C3D6C">
      <w:pPr>
        <w:rPr>
          <w:rFonts w:ascii="Arial" w:hAnsi="Arial" w:cs="Arial"/>
          <w:sz w:val="22"/>
          <w:szCs w:val="22"/>
        </w:rPr>
      </w:pPr>
      <w:r w:rsidRPr="001C3D6C">
        <w:rPr>
          <w:rFonts w:ascii="Arial" w:hAnsi="Arial" w:cs="Arial"/>
          <w:sz w:val="22"/>
          <w:szCs w:val="22"/>
        </w:rPr>
        <w:t xml:space="preserve"> Regular rectangular </w:t>
      </w:r>
      <w:r w:rsidRPr="001C3D6C">
        <w:rPr>
          <w:rFonts w:ascii="Arial" w:hAnsi="Arial" w:cs="Arial"/>
          <w:b/>
          <w:bCs/>
          <w:sz w:val="22"/>
          <w:szCs w:val="22"/>
        </w:rPr>
        <w:t xml:space="preserve">bays </w:t>
      </w:r>
      <w:r w:rsidRPr="001C3D6C">
        <w:rPr>
          <w:rFonts w:ascii="Arial" w:hAnsi="Arial" w:cs="Arial"/>
          <w:sz w:val="22"/>
          <w:szCs w:val="22"/>
        </w:rPr>
        <w:t xml:space="preserve">form the length of the nave, transept and choir and the plan proportions (the square bays of the aisles and the rectangular bays of the central vessel) are based on </w:t>
      </w:r>
      <w:r w:rsidRPr="001C3D6C">
        <w:rPr>
          <w:rFonts w:ascii="Arial" w:hAnsi="Arial" w:cs="Arial"/>
          <w:b/>
          <w:bCs/>
          <w:sz w:val="22"/>
          <w:szCs w:val="22"/>
        </w:rPr>
        <w:t xml:space="preserve">square </w:t>
      </w:r>
      <w:proofErr w:type="spellStart"/>
      <w:r w:rsidRPr="001C3D6C">
        <w:rPr>
          <w:rFonts w:ascii="Arial" w:hAnsi="Arial" w:cs="Arial"/>
          <w:b/>
          <w:bCs/>
          <w:sz w:val="22"/>
          <w:szCs w:val="22"/>
        </w:rPr>
        <w:t>schematism</w:t>
      </w:r>
      <w:proofErr w:type="spellEnd"/>
      <w:r w:rsidRPr="001C3D6C">
        <w:rPr>
          <w:rFonts w:ascii="Arial" w:hAnsi="Arial" w:cs="Arial"/>
          <w:sz w:val="22"/>
          <w:szCs w:val="22"/>
        </w:rPr>
        <w:t xml:space="preserve"> derived from the square of the </w:t>
      </w:r>
      <w:r w:rsidRPr="001C3D6C">
        <w:rPr>
          <w:rFonts w:ascii="Arial" w:hAnsi="Arial" w:cs="Arial"/>
          <w:b/>
          <w:bCs/>
          <w:sz w:val="22"/>
          <w:szCs w:val="22"/>
        </w:rPr>
        <w:t>transept crossing</w:t>
      </w:r>
      <w:r w:rsidRPr="001C3D6C">
        <w:rPr>
          <w:rFonts w:ascii="Arial" w:hAnsi="Arial" w:cs="Arial"/>
          <w:sz w:val="22"/>
          <w:szCs w:val="22"/>
        </w:rPr>
        <w:t xml:space="preserve">. Square </w:t>
      </w:r>
      <w:proofErr w:type="spellStart"/>
      <w:r w:rsidRPr="001C3D6C">
        <w:rPr>
          <w:rFonts w:ascii="Arial" w:hAnsi="Arial" w:cs="Arial"/>
          <w:sz w:val="22"/>
          <w:szCs w:val="22"/>
        </w:rPr>
        <w:t>schematism</w:t>
      </w:r>
      <w:proofErr w:type="spellEnd"/>
      <w:r w:rsidRPr="001C3D6C">
        <w:rPr>
          <w:rFonts w:ascii="Arial" w:hAnsi="Arial" w:cs="Arial"/>
          <w:sz w:val="22"/>
          <w:szCs w:val="22"/>
        </w:rPr>
        <w:t xml:space="preserve"> results in great regularity and harmony of spatial proportions. (Note: In a good ground plan dotted or broken lines usually indicated groin vaults whereas a solid line indicates ribbed vaults). Each nave bay measures ½ of crossing/ aisles are ¼ the size of crossing.</w:t>
      </w:r>
    </w:p>
    <w:p w14:paraId="46B6A767" w14:textId="53B628D6" w:rsidR="005E7ACC" w:rsidRPr="001F095C" w:rsidRDefault="005E7ACC" w:rsidP="00750268">
      <w:r>
        <w:rPr>
          <w:noProof/>
        </w:rPr>
        <w:drawing>
          <wp:anchor distT="0" distB="0" distL="114300" distR="114300" simplePos="0" relativeHeight="251665408" behindDoc="0" locked="0" layoutInCell="1" allowOverlap="1" wp14:anchorId="49069FE9" wp14:editId="2A83895D">
            <wp:simplePos x="0" y="0"/>
            <wp:positionH relativeFrom="column">
              <wp:posOffset>-520065</wp:posOffset>
            </wp:positionH>
            <wp:positionV relativeFrom="paragraph">
              <wp:posOffset>169545</wp:posOffset>
            </wp:positionV>
            <wp:extent cx="2628900" cy="1750060"/>
            <wp:effectExtent l="0" t="0" r="12700" b="2540"/>
            <wp:wrapSquare wrapText="bothSides"/>
            <wp:docPr id="10" name="Picture 10" descr="Macintosh HD:Users:teacher:Desktop:Module 5:saintefoyi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eacher:Desktop:Module 5:saintefoyinteri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1750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CAC2D2" w14:textId="77777777" w:rsidR="001F095C" w:rsidRPr="001F095C" w:rsidRDefault="001F095C" w:rsidP="001F095C">
      <w:pPr>
        <w:rPr>
          <w:rFonts w:ascii="Arial" w:hAnsi="Arial" w:cs="Arial"/>
          <w:sz w:val="22"/>
          <w:szCs w:val="22"/>
        </w:rPr>
      </w:pPr>
      <w:r w:rsidRPr="001F095C">
        <w:rPr>
          <w:rFonts w:ascii="Arial" w:hAnsi="Arial" w:cs="Arial"/>
          <w:sz w:val="22"/>
          <w:szCs w:val="22"/>
        </w:rPr>
        <w:t>The architects also wanted to get away from using wood for the ceilings.  They began to use stone ceilings on the new type of churches.   Barrel or groin vaults were used in the ceiling.  The stone was supported in the middle by the arch construction but was very heavy.  The weight of the ceilings would tend to buckle the walls outward.  This pressure outward is known as outward thrust.  To support the walls, large piles of stone would be stacked along the wall in intervals to buttress (or support) the walls from pushing.</w:t>
      </w:r>
    </w:p>
    <w:p w14:paraId="17A0E6F5" w14:textId="0E496ABE" w:rsidR="001F095C" w:rsidRPr="001F095C" w:rsidRDefault="001F095C" w:rsidP="001F095C">
      <w:pPr>
        <w:rPr>
          <w:rFonts w:ascii="Arial" w:hAnsi="Arial" w:cs="Arial"/>
          <w:sz w:val="22"/>
          <w:szCs w:val="22"/>
        </w:rPr>
      </w:pPr>
      <w:r w:rsidRPr="001F095C">
        <w:rPr>
          <w:rFonts w:ascii="Arial" w:hAnsi="Arial" w:cs="Arial"/>
          <w:sz w:val="22"/>
          <w:szCs w:val="22"/>
        </w:rPr>
        <w:t>Due to the weight of the stone ceiling, the wall of the church had to be very thick.  Windows had to be small to keep the strength of the wall strong.  Because of this, the churches interior was dim.  This was not solved till the gothic church design was used. </w:t>
      </w:r>
    </w:p>
    <w:p w14:paraId="6840EDA9" w14:textId="77777777" w:rsidR="005E7ACC" w:rsidRDefault="005E7ACC" w:rsidP="00750268">
      <w:pPr>
        <w:rPr>
          <w:rFonts w:ascii="Arial" w:hAnsi="Arial" w:cs="Arial"/>
          <w:sz w:val="22"/>
          <w:szCs w:val="22"/>
        </w:rPr>
      </w:pPr>
    </w:p>
    <w:p w14:paraId="1ACB7C84" w14:textId="5A12D1D6" w:rsidR="005E7ACC" w:rsidRDefault="00E762BC" w:rsidP="00750268">
      <w:pPr>
        <w:rPr>
          <w:rFonts w:ascii="Arial" w:hAnsi="Arial" w:cs="Arial"/>
          <w:sz w:val="22"/>
          <w:szCs w:val="22"/>
        </w:rPr>
      </w:pPr>
      <w:r>
        <w:rPr>
          <w:noProof/>
        </w:rPr>
        <w:drawing>
          <wp:anchor distT="0" distB="0" distL="114300" distR="114300" simplePos="0" relativeHeight="251666432" behindDoc="0" locked="0" layoutInCell="1" allowOverlap="1" wp14:anchorId="6C165E01" wp14:editId="01543484">
            <wp:simplePos x="0" y="0"/>
            <wp:positionH relativeFrom="column">
              <wp:posOffset>-634365</wp:posOffset>
            </wp:positionH>
            <wp:positionV relativeFrom="paragraph">
              <wp:posOffset>52705</wp:posOffset>
            </wp:positionV>
            <wp:extent cx="1714500" cy="1362075"/>
            <wp:effectExtent l="0" t="0" r="12700" b="9525"/>
            <wp:wrapSquare wrapText="bothSides"/>
            <wp:docPr id="11" name="Picture 11" descr="Macintosh HD:Users:teacher:Desktop:Module 5:Tympan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eacher:Desktop:Module 5:Tympanum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17477" w14:textId="2CE8095F" w:rsidR="00750268" w:rsidRPr="00750268" w:rsidRDefault="00750268" w:rsidP="00750268">
      <w:pPr>
        <w:rPr>
          <w:rFonts w:ascii="Arial" w:hAnsi="Arial" w:cs="Arial"/>
          <w:sz w:val="22"/>
          <w:szCs w:val="22"/>
        </w:rPr>
      </w:pPr>
      <w:r w:rsidRPr="00750268">
        <w:rPr>
          <w:rFonts w:ascii="Arial" w:hAnsi="Arial" w:cs="Arial"/>
          <w:sz w:val="22"/>
          <w:szCs w:val="22"/>
        </w:rPr>
        <w:t xml:space="preserve">When a pilgrim arrived at </w:t>
      </w:r>
      <w:proofErr w:type="spellStart"/>
      <w:r w:rsidRPr="00750268">
        <w:rPr>
          <w:rFonts w:ascii="Arial" w:hAnsi="Arial" w:cs="Arial"/>
          <w:sz w:val="22"/>
          <w:szCs w:val="22"/>
        </w:rPr>
        <w:t>Conques</w:t>
      </w:r>
      <w:proofErr w:type="spellEnd"/>
      <w:r w:rsidRPr="00750268">
        <w:rPr>
          <w:rFonts w:ascii="Arial" w:hAnsi="Arial" w:cs="Arial"/>
          <w:sz w:val="22"/>
          <w:szCs w:val="22"/>
        </w:rPr>
        <w:t>, they would probably head for the church to receive blessing. Yet before they got inside, an important message awaited them on the portals: the Last Judgment. This scene is depicted on the tympanum, the central semi-circular relief carving above the central portal.</w:t>
      </w:r>
    </w:p>
    <w:p w14:paraId="34EDD28C" w14:textId="77777777" w:rsidR="00750268" w:rsidRPr="00750268" w:rsidRDefault="00750268" w:rsidP="00750268">
      <w:r w:rsidRPr="00750268">
        <w:rPr>
          <w:rFonts w:ascii="Arial" w:hAnsi="Arial" w:cs="Arial"/>
          <w:sz w:val="22"/>
          <w:szCs w:val="22"/>
        </w:rPr>
        <w:t>This scene would have served as a reminder to those entering the Church of Saint-Foy about the joys of heaven and torments of hell</w:t>
      </w:r>
      <w:r w:rsidRPr="00750268">
        <w:t xml:space="preserve">. </w:t>
      </w:r>
    </w:p>
    <w:p w14:paraId="5284E803" w14:textId="3B1B0302" w:rsidR="00750268" w:rsidRDefault="00750268"/>
    <w:p w14:paraId="5401CAC2" w14:textId="00224C01" w:rsidR="00E762BC" w:rsidRDefault="00B60B81" w:rsidP="00B60B81">
      <w:pPr>
        <w:tabs>
          <w:tab w:val="left" w:pos="787"/>
        </w:tabs>
        <w:rPr>
          <w:rFonts w:ascii="Arial" w:hAnsi="Arial" w:cs="Arial"/>
          <w:sz w:val="22"/>
          <w:szCs w:val="22"/>
        </w:rPr>
      </w:pPr>
      <w:r>
        <w:rPr>
          <w:noProof/>
        </w:rPr>
        <w:drawing>
          <wp:anchor distT="0" distB="0" distL="114300" distR="114300" simplePos="0" relativeHeight="251663360" behindDoc="0" locked="0" layoutInCell="1" allowOverlap="1" wp14:anchorId="60DFFDE8" wp14:editId="42ECAF77">
            <wp:simplePos x="0" y="0"/>
            <wp:positionH relativeFrom="column">
              <wp:posOffset>-634365</wp:posOffset>
            </wp:positionH>
            <wp:positionV relativeFrom="paragraph">
              <wp:posOffset>55880</wp:posOffset>
            </wp:positionV>
            <wp:extent cx="1714500" cy="2571750"/>
            <wp:effectExtent l="0" t="0" r="12700" b="0"/>
            <wp:wrapSquare wrapText="bothSides"/>
            <wp:docPr id="5" name="Picture 5" descr="Macintosh HD:Users:teacher:Desktop:Module 5:reliquaireF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eacher:Desktop:Module 5:reliquaireFo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780D4" w14:textId="2E3E1B48" w:rsidR="00917CC1" w:rsidRDefault="00917CC1" w:rsidP="00917CC1">
      <w:pPr>
        <w:rPr>
          <w:rFonts w:ascii="Arial" w:hAnsi="Arial" w:cs="Arial"/>
          <w:sz w:val="22"/>
          <w:szCs w:val="22"/>
        </w:rPr>
      </w:pPr>
      <w:r w:rsidRPr="00917CC1">
        <w:rPr>
          <w:rFonts w:ascii="Arial" w:hAnsi="Arial" w:cs="Arial"/>
          <w:sz w:val="22"/>
          <w:szCs w:val="22"/>
        </w:rPr>
        <w:t xml:space="preserve">Saint Foy or "Saint Faith of </w:t>
      </w:r>
      <w:proofErr w:type="spellStart"/>
      <w:r w:rsidRPr="00917CC1">
        <w:rPr>
          <w:rFonts w:ascii="Arial" w:hAnsi="Arial" w:cs="Arial"/>
          <w:sz w:val="22"/>
          <w:szCs w:val="22"/>
        </w:rPr>
        <w:t>Conques</w:t>
      </w:r>
      <w:proofErr w:type="spellEnd"/>
      <w:r w:rsidRPr="00917CC1">
        <w:rPr>
          <w:rFonts w:ascii="Arial" w:hAnsi="Arial" w:cs="Arial"/>
          <w:sz w:val="22"/>
          <w:szCs w:val="22"/>
        </w:rPr>
        <w:t xml:space="preserve">” is a saint who is said to have been a girl or young woman of </w:t>
      </w:r>
      <w:proofErr w:type="spellStart"/>
      <w:r w:rsidRPr="00917CC1">
        <w:rPr>
          <w:rFonts w:ascii="Arial" w:hAnsi="Arial" w:cs="Arial"/>
          <w:sz w:val="22"/>
          <w:szCs w:val="22"/>
        </w:rPr>
        <w:t>Agen</w:t>
      </w:r>
      <w:proofErr w:type="spellEnd"/>
      <w:r w:rsidRPr="00917CC1">
        <w:rPr>
          <w:rFonts w:ascii="Arial" w:hAnsi="Arial" w:cs="Arial"/>
          <w:sz w:val="22"/>
          <w:szCs w:val="22"/>
        </w:rPr>
        <w:t xml:space="preserve"> in Aquitaine. Her legend recounts how she was arrested during persecution of Christians by the Roman Empire and refused to make pagan sacrifices even under torture. Saint Faith was tortured to death with a red-hot brazier, a hot griddle. </w:t>
      </w:r>
    </w:p>
    <w:p w14:paraId="41845B75" w14:textId="77777777" w:rsidR="00917CC1" w:rsidRPr="00917CC1" w:rsidRDefault="00917CC1" w:rsidP="00917CC1">
      <w:pPr>
        <w:rPr>
          <w:rFonts w:ascii="Arial" w:hAnsi="Arial" w:cs="Arial"/>
          <w:sz w:val="22"/>
          <w:szCs w:val="22"/>
        </w:rPr>
      </w:pPr>
    </w:p>
    <w:p w14:paraId="15C61C4F" w14:textId="2125E821" w:rsidR="00917CC1" w:rsidRDefault="00917CC1" w:rsidP="00917CC1">
      <w:pPr>
        <w:rPr>
          <w:rFonts w:ascii="Arial" w:hAnsi="Arial" w:cs="Arial"/>
          <w:sz w:val="22"/>
          <w:szCs w:val="22"/>
        </w:rPr>
      </w:pPr>
      <w:r>
        <w:rPr>
          <w:rFonts w:ascii="Arial" w:hAnsi="Arial" w:cs="Arial"/>
          <w:sz w:val="22"/>
          <w:szCs w:val="22"/>
        </w:rPr>
        <w:tab/>
      </w:r>
      <w:r w:rsidRPr="00917CC1">
        <w:rPr>
          <w:rFonts w:ascii="Arial" w:hAnsi="Arial" w:cs="Arial"/>
          <w:sz w:val="22"/>
          <w:szCs w:val="22"/>
        </w:rPr>
        <w:t xml:space="preserve">The center of her veneration was transferred to the Abbey of Sainte-Foy, </w:t>
      </w:r>
      <w:proofErr w:type="spellStart"/>
      <w:r w:rsidRPr="00917CC1">
        <w:rPr>
          <w:rFonts w:ascii="Arial" w:hAnsi="Arial" w:cs="Arial"/>
          <w:sz w:val="22"/>
          <w:szCs w:val="22"/>
        </w:rPr>
        <w:t>Conques</w:t>
      </w:r>
      <w:proofErr w:type="spellEnd"/>
      <w:r w:rsidRPr="00917CC1">
        <w:rPr>
          <w:rFonts w:ascii="Arial" w:hAnsi="Arial" w:cs="Arial"/>
          <w:sz w:val="22"/>
          <w:szCs w:val="22"/>
        </w:rPr>
        <w:t xml:space="preserve">, where her relics arrived in the ninth century, stolen from </w:t>
      </w:r>
      <w:proofErr w:type="spellStart"/>
      <w:r w:rsidRPr="00917CC1">
        <w:rPr>
          <w:rFonts w:ascii="Arial" w:hAnsi="Arial" w:cs="Arial"/>
          <w:sz w:val="22"/>
          <w:szCs w:val="22"/>
        </w:rPr>
        <w:t>Agen</w:t>
      </w:r>
      <w:proofErr w:type="spellEnd"/>
      <w:r w:rsidRPr="00917CC1">
        <w:rPr>
          <w:rFonts w:ascii="Arial" w:hAnsi="Arial" w:cs="Arial"/>
          <w:sz w:val="22"/>
          <w:szCs w:val="22"/>
        </w:rPr>
        <w:t xml:space="preserve"> by a monk from the Abbey nearby at </w:t>
      </w:r>
      <w:proofErr w:type="spellStart"/>
      <w:r w:rsidRPr="00917CC1">
        <w:rPr>
          <w:rFonts w:ascii="Arial" w:hAnsi="Arial" w:cs="Arial"/>
          <w:sz w:val="22"/>
          <w:szCs w:val="22"/>
        </w:rPr>
        <w:t>Conques</w:t>
      </w:r>
      <w:proofErr w:type="spellEnd"/>
      <w:r w:rsidRPr="00917CC1">
        <w:rPr>
          <w:rFonts w:ascii="Arial" w:hAnsi="Arial" w:cs="Arial"/>
          <w:sz w:val="22"/>
          <w:szCs w:val="22"/>
        </w:rPr>
        <w:t>. In the same year the abbey was founded, the relics of St. James were discovered at </w:t>
      </w:r>
      <w:proofErr w:type="spellStart"/>
      <w:r w:rsidR="00B20BF4" w:rsidRPr="00917CC1">
        <w:rPr>
          <w:rFonts w:ascii="Arial" w:hAnsi="Arial" w:cs="Arial"/>
          <w:sz w:val="22"/>
          <w:szCs w:val="22"/>
        </w:rPr>
        <w:t>Compostela</w:t>
      </w:r>
      <w:proofErr w:type="spellEnd"/>
      <w:r w:rsidR="00B20BF4" w:rsidRPr="00917CC1">
        <w:rPr>
          <w:rFonts w:ascii="Arial" w:hAnsi="Arial" w:cs="Arial"/>
          <w:sz w:val="22"/>
          <w:szCs w:val="22"/>
        </w:rPr>
        <w:t xml:space="preserve"> in</w:t>
      </w:r>
      <w:r w:rsidRPr="00917CC1">
        <w:rPr>
          <w:rFonts w:ascii="Arial" w:hAnsi="Arial" w:cs="Arial"/>
          <w:sz w:val="22"/>
          <w:szCs w:val="22"/>
        </w:rPr>
        <w:t xml:space="preserve"> Spain. The pilgrimage routes passed through smaller shrines along the way, which soon became rich from pilgrim gifts and religious tourism. For the monks at </w:t>
      </w:r>
      <w:proofErr w:type="spellStart"/>
      <w:r w:rsidRPr="00917CC1">
        <w:rPr>
          <w:rFonts w:ascii="Arial" w:hAnsi="Arial" w:cs="Arial"/>
          <w:sz w:val="22"/>
          <w:szCs w:val="22"/>
        </w:rPr>
        <w:t>Conques</w:t>
      </w:r>
      <w:proofErr w:type="spellEnd"/>
      <w:r w:rsidRPr="00917CC1">
        <w:rPr>
          <w:rFonts w:ascii="Arial" w:hAnsi="Arial" w:cs="Arial"/>
          <w:sz w:val="22"/>
          <w:szCs w:val="22"/>
        </w:rPr>
        <w:t>, the lure of fame and riches soon proved too much to bear, and they conspired to </w:t>
      </w:r>
      <w:r w:rsidRPr="00917CC1">
        <w:rPr>
          <w:rFonts w:ascii="Arial" w:hAnsi="Arial" w:cs="Arial"/>
          <w:bCs/>
          <w:sz w:val="22"/>
          <w:szCs w:val="22"/>
        </w:rPr>
        <w:t>steal some relics</w:t>
      </w:r>
      <w:r w:rsidRPr="00917CC1">
        <w:rPr>
          <w:rFonts w:ascii="Arial" w:hAnsi="Arial" w:cs="Arial"/>
          <w:sz w:val="22"/>
          <w:szCs w:val="22"/>
        </w:rPr>
        <w:t xml:space="preserve"> to attract pilgrims. A </w:t>
      </w:r>
      <w:proofErr w:type="spellStart"/>
      <w:r w:rsidRPr="00917CC1">
        <w:rPr>
          <w:rFonts w:ascii="Arial" w:hAnsi="Arial" w:cs="Arial"/>
          <w:sz w:val="22"/>
          <w:szCs w:val="22"/>
        </w:rPr>
        <w:t>Conques</w:t>
      </w:r>
      <w:proofErr w:type="spellEnd"/>
      <w:r w:rsidRPr="00917CC1">
        <w:rPr>
          <w:rFonts w:ascii="Arial" w:hAnsi="Arial" w:cs="Arial"/>
          <w:sz w:val="22"/>
          <w:szCs w:val="22"/>
        </w:rPr>
        <w:t xml:space="preserve"> brother acted as a faithful monk at </w:t>
      </w:r>
      <w:proofErr w:type="spellStart"/>
      <w:r w:rsidRPr="00917CC1">
        <w:rPr>
          <w:rFonts w:ascii="Arial" w:hAnsi="Arial" w:cs="Arial"/>
          <w:sz w:val="22"/>
          <w:szCs w:val="22"/>
        </w:rPr>
        <w:t>Agen</w:t>
      </w:r>
      <w:proofErr w:type="spellEnd"/>
      <w:r w:rsidRPr="00917CC1">
        <w:rPr>
          <w:rFonts w:ascii="Arial" w:hAnsi="Arial" w:cs="Arial"/>
          <w:sz w:val="22"/>
          <w:szCs w:val="22"/>
        </w:rPr>
        <w:t xml:space="preserve"> for 10 years at until he was able to steal the relics, which he brought back to </w:t>
      </w:r>
      <w:proofErr w:type="spellStart"/>
      <w:r w:rsidRPr="00917CC1">
        <w:rPr>
          <w:rFonts w:ascii="Arial" w:hAnsi="Arial" w:cs="Arial"/>
          <w:sz w:val="22"/>
          <w:szCs w:val="22"/>
        </w:rPr>
        <w:t>Conques</w:t>
      </w:r>
      <w:proofErr w:type="spellEnd"/>
      <w:r w:rsidRPr="00917CC1">
        <w:rPr>
          <w:rFonts w:ascii="Arial" w:hAnsi="Arial" w:cs="Arial"/>
          <w:sz w:val="22"/>
          <w:szCs w:val="22"/>
        </w:rPr>
        <w:t>. Streams of pilgrims soon began to make their way to the shrine.</w:t>
      </w:r>
    </w:p>
    <w:p w14:paraId="13E549FB" w14:textId="77777777" w:rsidR="00917CC1" w:rsidRPr="00917CC1" w:rsidRDefault="00917CC1" w:rsidP="00917CC1">
      <w:pPr>
        <w:rPr>
          <w:rFonts w:ascii="Arial" w:hAnsi="Arial" w:cs="Arial"/>
          <w:sz w:val="22"/>
          <w:szCs w:val="22"/>
        </w:rPr>
      </w:pPr>
    </w:p>
    <w:p w14:paraId="4FC58B90" w14:textId="3ECA6F05" w:rsidR="00750268" w:rsidRPr="00E762BC" w:rsidRDefault="00917CC1">
      <w:pPr>
        <w:rPr>
          <w:rFonts w:ascii="Arial" w:hAnsi="Arial" w:cs="Arial"/>
          <w:sz w:val="22"/>
          <w:szCs w:val="22"/>
        </w:rPr>
      </w:pPr>
      <w:r>
        <w:rPr>
          <w:rFonts w:ascii="Arial" w:hAnsi="Arial" w:cs="Arial"/>
          <w:sz w:val="22"/>
          <w:szCs w:val="22"/>
        </w:rPr>
        <w:tab/>
      </w:r>
      <w:r w:rsidRPr="00917CC1">
        <w:rPr>
          <w:rFonts w:ascii="Arial" w:hAnsi="Arial" w:cs="Arial"/>
          <w:sz w:val="22"/>
          <w:szCs w:val="22"/>
        </w:rPr>
        <w:t xml:space="preserve">The saint’s relics are still held in the golden reliquary, dating back at least to </w:t>
      </w:r>
      <w:r w:rsidRPr="00E762BC">
        <w:rPr>
          <w:rFonts w:ascii="Arial" w:hAnsi="Arial" w:cs="Arial"/>
          <w:sz w:val="22"/>
          <w:szCs w:val="22"/>
        </w:rPr>
        <w:t xml:space="preserve">1010, designed in the shape of a woman. The manly face of the reliquary has actually caused some debate, </w:t>
      </w:r>
      <w:r w:rsidR="00B20BF4" w:rsidRPr="00E762BC">
        <w:rPr>
          <w:rFonts w:ascii="Arial" w:hAnsi="Arial" w:cs="Arial"/>
          <w:sz w:val="22"/>
          <w:szCs w:val="22"/>
        </w:rPr>
        <w:t>but regardless</w:t>
      </w:r>
      <w:r w:rsidRPr="00E762BC">
        <w:rPr>
          <w:rFonts w:ascii="Arial" w:hAnsi="Arial" w:cs="Arial"/>
          <w:sz w:val="22"/>
          <w:szCs w:val="22"/>
        </w:rPr>
        <w:t xml:space="preserve">, it is one big, golden statue.  It is also the last remaining example of its type, once common in the </w:t>
      </w:r>
      <w:r w:rsidR="00B20BF4" w:rsidRPr="00E762BC">
        <w:rPr>
          <w:rFonts w:ascii="Arial" w:hAnsi="Arial" w:cs="Arial"/>
          <w:sz w:val="22"/>
          <w:szCs w:val="22"/>
        </w:rPr>
        <w:t>Middle Ages</w:t>
      </w:r>
      <w:r w:rsidRPr="00E762BC">
        <w:rPr>
          <w:rFonts w:ascii="Arial" w:hAnsi="Arial" w:cs="Arial"/>
          <w:sz w:val="22"/>
          <w:szCs w:val="22"/>
        </w:rPr>
        <w:t xml:space="preserve">. The monastery at </w:t>
      </w:r>
      <w:proofErr w:type="spellStart"/>
      <w:r w:rsidRPr="00E762BC">
        <w:rPr>
          <w:rFonts w:ascii="Arial" w:hAnsi="Arial" w:cs="Arial"/>
          <w:sz w:val="22"/>
          <w:szCs w:val="22"/>
        </w:rPr>
        <w:t>Conques</w:t>
      </w:r>
      <w:proofErr w:type="spellEnd"/>
      <w:r w:rsidRPr="00E762BC">
        <w:rPr>
          <w:rFonts w:ascii="Arial" w:hAnsi="Arial" w:cs="Arial"/>
          <w:sz w:val="22"/>
          <w:szCs w:val="22"/>
        </w:rPr>
        <w:t xml:space="preserve"> remains an important stop on the pilgrimage route of the Camino de Santiago, where pilgrims stop to visit the relics of St. Foy to ask for her blessings of safe travel.</w:t>
      </w:r>
    </w:p>
    <w:p w14:paraId="6887F04C" w14:textId="77777777" w:rsidR="00750268" w:rsidRPr="00E762BC" w:rsidRDefault="00750268">
      <w:pPr>
        <w:rPr>
          <w:rFonts w:ascii="Arial" w:hAnsi="Arial" w:cs="Arial"/>
          <w:sz w:val="22"/>
          <w:szCs w:val="22"/>
        </w:rPr>
      </w:pPr>
    </w:p>
    <w:p w14:paraId="7A22F614" w14:textId="1172FC56" w:rsidR="006F6F05" w:rsidRDefault="00E762BC">
      <w:pPr>
        <w:rPr>
          <w:rFonts w:ascii="Arial" w:hAnsi="Arial" w:cs="Arial"/>
          <w:sz w:val="22"/>
          <w:szCs w:val="22"/>
        </w:rPr>
      </w:pPr>
      <w:r w:rsidRPr="00E762BC">
        <w:rPr>
          <w:rFonts w:ascii="Arial" w:hAnsi="Arial" w:cs="Arial"/>
          <w:sz w:val="22"/>
          <w:szCs w:val="22"/>
        </w:rPr>
        <w:t>Citations:</w:t>
      </w:r>
    </w:p>
    <w:p w14:paraId="109C47CD" w14:textId="77777777" w:rsidR="00E762BC" w:rsidRDefault="00E762BC">
      <w:pPr>
        <w:rPr>
          <w:rFonts w:ascii="Arial" w:hAnsi="Arial" w:cs="Arial"/>
          <w:sz w:val="22"/>
          <w:szCs w:val="22"/>
        </w:rPr>
      </w:pPr>
    </w:p>
    <w:p w14:paraId="18517D3F" w14:textId="77777777" w:rsidR="00E762BC" w:rsidRPr="00E762BC" w:rsidRDefault="00E762BC" w:rsidP="00E762BC">
      <w:pPr>
        <w:rPr>
          <w:rFonts w:ascii="Arial" w:eastAsia="Times New Roman" w:hAnsi="Arial" w:cs="Arial"/>
          <w:sz w:val="22"/>
          <w:szCs w:val="22"/>
        </w:rPr>
      </w:pPr>
      <w:r w:rsidRPr="00E762BC">
        <w:rPr>
          <w:rFonts w:ascii="Arial" w:eastAsia="Times New Roman" w:hAnsi="Arial" w:cs="Arial"/>
          <w:color w:val="333333"/>
          <w:sz w:val="22"/>
          <w:szCs w:val="22"/>
          <w:shd w:val="clear" w:color="auto" w:fill="FFFFFF"/>
        </w:rPr>
        <w:t>"Sacred Destinations." </w:t>
      </w:r>
      <w:proofErr w:type="spellStart"/>
      <w:r w:rsidRPr="00E762BC">
        <w:rPr>
          <w:rFonts w:ascii="Arial" w:eastAsia="Times New Roman" w:hAnsi="Arial" w:cs="Arial"/>
          <w:i/>
          <w:iCs/>
          <w:color w:val="333333"/>
          <w:sz w:val="22"/>
          <w:szCs w:val="22"/>
          <w:shd w:val="clear" w:color="auto" w:fill="FFFFFF"/>
        </w:rPr>
        <w:t>Conques</w:t>
      </w:r>
      <w:proofErr w:type="spellEnd"/>
      <w:r w:rsidRPr="00E762BC">
        <w:rPr>
          <w:rFonts w:ascii="Arial" w:eastAsia="Times New Roman" w:hAnsi="Arial" w:cs="Arial"/>
          <w:i/>
          <w:iCs/>
          <w:color w:val="333333"/>
          <w:sz w:val="22"/>
          <w:szCs w:val="22"/>
          <w:shd w:val="clear" w:color="auto" w:fill="FFFFFF"/>
        </w:rPr>
        <w:t xml:space="preserve"> Abbey</w:t>
      </w:r>
      <w:r w:rsidRPr="00E762BC">
        <w:rPr>
          <w:rFonts w:ascii="Arial" w:eastAsia="Times New Roman" w:hAnsi="Arial" w:cs="Arial"/>
          <w:color w:val="333333"/>
          <w:sz w:val="22"/>
          <w:szCs w:val="22"/>
          <w:shd w:val="clear" w:color="auto" w:fill="FFFFFF"/>
        </w:rPr>
        <w:t>. Web. 26 Nov. 2014. &lt;http://www.sacred-destinations.com/france/conques-abbey&gt;.</w:t>
      </w:r>
    </w:p>
    <w:p w14:paraId="2A4749FD" w14:textId="7A8F3E93" w:rsidR="006F6F05" w:rsidRDefault="006F6F05"/>
    <w:p w14:paraId="25763918" w14:textId="77777777" w:rsidR="00E762BC" w:rsidRDefault="00E762BC" w:rsidP="00E762BC">
      <w:pPr>
        <w:rPr>
          <w:rFonts w:ascii="Arial" w:eastAsia="Times New Roman" w:hAnsi="Arial" w:cs="Arial"/>
          <w:color w:val="333333"/>
          <w:sz w:val="22"/>
          <w:szCs w:val="22"/>
          <w:shd w:val="clear" w:color="auto" w:fill="FFFFFF"/>
        </w:rPr>
      </w:pPr>
      <w:r w:rsidRPr="00E762BC">
        <w:rPr>
          <w:rFonts w:ascii="Arial" w:eastAsia="Times New Roman" w:hAnsi="Arial" w:cs="Arial"/>
          <w:color w:val="333333"/>
          <w:sz w:val="22"/>
          <w:szCs w:val="22"/>
          <w:shd w:val="clear" w:color="auto" w:fill="FFFFFF"/>
        </w:rPr>
        <w:t xml:space="preserve">Web. 26 Nov. 2014. </w:t>
      </w:r>
      <w:proofErr w:type="gramStart"/>
      <w:r w:rsidRPr="00E762BC">
        <w:rPr>
          <w:rFonts w:ascii="Arial" w:eastAsia="Times New Roman" w:hAnsi="Arial" w:cs="Arial"/>
          <w:color w:val="333333"/>
          <w:sz w:val="22"/>
          <w:szCs w:val="22"/>
          <w:shd w:val="clear" w:color="auto" w:fill="FFFFFF"/>
        </w:rPr>
        <w:t>&lt;https://www.khanacademy.org/humanities/medieval-world/latin-western-europe/ romanesque1/a/church-and-reliquary-of-</w:t>
      </w:r>
      <w:proofErr w:type="spellStart"/>
      <w:r w:rsidRPr="00E762BC">
        <w:rPr>
          <w:rFonts w:ascii="Arial" w:eastAsia="Times New Roman" w:hAnsi="Arial" w:cs="Arial"/>
          <w:color w:val="333333"/>
          <w:sz w:val="22"/>
          <w:szCs w:val="22"/>
          <w:shd w:val="clear" w:color="auto" w:fill="FFFFFF"/>
        </w:rPr>
        <w:t>saintefoy</w:t>
      </w:r>
      <w:proofErr w:type="spellEnd"/>
      <w:r w:rsidRPr="00E762BC">
        <w:rPr>
          <w:rFonts w:ascii="Arial" w:eastAsia="Times New Roman" w:hAnsi="Arial" w:cs="Arial"/>
          <w:color w:val="333333"/>
          <w:sz w:val="22"/>
          <w:szCs w:val="22"/>
          <w:shd w:val="clear" w:color="auto" w:fill="FFFFFF"/>
        </w:rPr>
        <w:t>-</w:t>
      </w:r>
      <w:proofErr w:type="spellStart"/>
      <w:r w:rsidRPr="00E762BC">
        <w:rPr>
          <w:rFonts w:ascii="Arial" w:eastAsia="Times New Roman" w:hAnsi="Arial" w:cs="Arial"/>
          <w:color w:val="333333"/>
          <w:sz w:val="22"/>
          <w:szCs w:val="22"/>
          <w:shd w:val="clear" w:color="auto" w:fill="FFFFFF"/>
        </w:rPr>
        <w:t>france</w:t>
      </w:r>
      <w:proofErr w:type="spellEnd"/>
      <w:r w:rsidRPr="00E762BC">
        <w:rPr>
          <w:rFonts w:ascii="Arial" w:eastAsia="Times New Roman" w:hAnsi="Arial" w:cs="Arial"/>
          <w:color w:val="333333"/>
          <w:sz w:val="22"/>
          <w:szCs w:val="22"/>
          <w:shd w:val="clear" w:color="auto" w:fill="FFFFFF"/>
        </w:rPr>
        <w:t>&gt;.</w:t>
      </w:r>
      <w:proofErr w:type="gramEnd"/>
    </w:p>
    <w:p w14:paraId="093E9EE6" w14:textId="77777777" w:rsidR="00E762BC" w:rsidRDefault="00E762BC" w:rsidP="00E762BC">
      <w:pPr>
        <w:rPr>
          <w:rFonts w:ascii="Arial" w:eastAsia="Times New Roman" w:hAnsi="Arial" w:cs="Arial"/>
          <w:color w:val="333333"/>
          <w:sz w:val="22"/>
          <w:szCs w:val="22"/>
          <w:shd w:val="clear" w:color="auto" w:fill="FFFFFF"/>
        </w:rPr>
      </w:pPr>
    </w:p>
    <w:p w14:paraId="42629C32" w14:textId="463EF5DD" w:rsidR="00E762BC" w:rsidRDefault="00E762BC" w:rsidP="00E762BC">
      <w:pPr>
        <w:rPr>
          <w:rFonts w:ascii="Arial" w:eastAsia="Times New Roman" w:hAnsi="Arial" w:cs="Arial"/>
          <w:color w:val="333333"/>
          <w:sz w:val="22"/>
          <w:szCs w:val="22"/>
          <w:shd w:val="clear" w:color="auto" w:fill="FFFFFF"/>
        </w:rPr>
      </w:pPr>
      <w:r>
        <w:rPr>
          <w:rFonts w:ascii="Arial" w:eastAsia="Times New Roman" w:hAnsi="Arial" w:cs="Arial"/>
          <w:color w:val="333333"/>
          <w:sz w:val="22"/>
          <w:szCs w:val="22"/>
          <w:shd w:val="clear" w:color="auto" w:fill="FFFFFF"/>
        </w:rPr>
        <w:t>Image:</w:t>
      </w:r>
    </w:p>
    <w:p w14:paraId="7DCB77BF" w14:textId="77777777" w:rsidR="00E762BC" w:rsidRDefault="00E762BC" w:rsidP="00E762BC">
      <w:pPr>
        <w:rPr>
          <w:rFonts w:ascii="Arial" w:eastAsia="Times New Roman" w:hAnsi="Arial" w:cs="Arial"/>
          <w:color w:val="333333"/>
          <w:sz w:val="22"/>
          <w:szCs w:val="22"/>
          <w:shd w:val="clear" w:color="auto" w:fill="FFFFFF"/>
        </w:rPr>
      </w:pPr>
    </w:p>
    <w:p w14:paraId="232EBC34" w14:textId="77777777" w:rsidR="00E762BC" w:rsidRDefault="00E762BC" w:rsidP="00E762BC">
      <w:pPr>
        <w:rPr>
          <w:rFonts w:ascii="Arial" w:eastAsia="Times New Roman" w:hAnsi="Arial" w:cs="Arial"/>
          <w:sz w:val="22"/>
          <w:szCs w:val="22"/>
        </w:rPr>
      </w:pPr>
      <w:r w:rsidRPr="00E762BC">
        <w:rPr>
          <w:rFonts w:ascii="Arial" w:eastAsia="Times New Roman" w:hAnsi="Arial" w:cs="Arial"/>
          <w:sz w:val="22"/>
          <w:szCs w:val="22"/>
        </w:rPr>
        <w:t xml:space="preserve">By Daniel </w:t>
      </w:r>
      <w:proofErr w:type="spellStart"/>
      <w:r w:rsidRPr="00E762BC">
        <w:rPr>
          <w:rFonts w:ascii="Arial" w:eastAsia="Times New Roman" w:hAnsi="Arial" w:cs="Arial"/>
          <w:sz w:val="22"/>
          <w:szCs w:val="22"/>
        </w:rPr>
        <w:t>Villafruela</w:t>
      </w:r>
      <w:proofErr w:type="spellEnd"/>
      <w:r w:rsidRPr="00E762BC">
        <w:rPr>
          <w:rFonts w:ascii="Arial" w:eastAsia="Times New Roman" w:hAnsi="Arial" w:cs="Arial"/>
          <w:sz w:val="22"/>
          <w:szCs w:val="22"/>
        </w:rPr>
        <w:t>. (Own work.) [GFDL (http://www.gnu.org/copyleft/fdl.html) or CC-BY-SA-3.0-2.5-2.0-1.0 (http://creativecommons.org/licenses/by-sa/3.0)], via Wikimedia Commons</w:t>
      </w:r>
    </w:p>
    <w:p w14:paraId="01BDD593" w14:textId="77777777" w:rsidR="00E762BC" w:rsidRPr="00E762BC" w:rsidRDefault="00E762BC" w:rsidP="00E762BC">
      <w:pPr>
        <w:rPr>
          <w:rFonts w:ascii="Arial" w:eastAsia="Times New Roman" w:hAnsi="Arial" w:cs="Arial"/>
          <w:sz w:val="22"/>
          <w:szCs w:val="22"/>
        </w:rPr>
      </w:pPr>
    </w:p>
    <w:p w14:paraId="52F6CD70" w14:textId="77777777" w:rsidR="00E762BC" w:rsidRDefault="00E762BC" w:rsidP="00E762BC">
      <w:pPr>
        <w:rPr>
          <w:rFonts w:ascii="Arial" w:eastAsia="Times New Roman" w:hAnsi="Arial" w:cs="Arial"/>
          <w:sz w:val="22"/>
          <w:szCs w:val="22"/>
        </w:rPr>
      </w:pPr>
      <w:r w:rsidRPr="00E762BC">
        <w:rPr>
          <w:rFonts w:ascii="Arial" w:eastAsia="Times New Roman" w:hAnsi="Arial" w:cs="Arial"/>
          <w:sz w:val="22"/>
          <w:szCs w:val="22"/>
        </w:rPr>
        <w:t>By Jean-Pol GRANDMONT (Own work) [CC-BY-2.0 (http://creativecommons.org/licenses/by/2.0)], via Wikimedia Commons</w:t>
      </w:r>
    </w:p>
    <w:p w14:paraId="3B80F50B" w14:textId="77777777" w:rsidR="00B60B81" w:rsidRDefault="00B60B81" w:rsidP="00E762BC">
      <w:pPr>
        <w:rPr>
          <w:rFonts w:ascii="Arial" w:eastAsia="Times New Roman" w:hAnsi="Arial" w:cs="Arial"/>
          <w:sz w:val="22"/>
          <w:szCs w:val="22"/>
        </w:rPr>
      </w:pPr>
    </w:p>
    <w:p w14:paraId="132491F8" w14:textId="53450A7D" w:rsidR="00B60B81" w:rsidRDefault="00B60B81" w:rsidP="00E762BC">
      <w:pPr>
        <w:rPr>
          <w:rFonts w:ascii="Arial" w:eastAsia="Times New Roman" w:hAnsi="Arial" w:cs="Arial"/>
          <w:sz w:val="22"/>
          <w:szCs w:val="22"/>
        </w:rPr>
      </w:pPr>
      <w:r w:rsidRPr="00B60B81">
        <w:rPr>
          <w:rFonts w:ascii="Arial" w:eastAsia="Times New Roman" w:hAnsi="Arial" w:cs="Arial"/>
          <w:sz w:val="22"/>
          <w:szCs w:val="22"/>
        </w:rPr>
        <w:t xml:space="preserve">Par </w:t>
      </w:r>
      <w:proofErr w:type="spellStart"/>
      <w:r w:rsidRPr="00B60B81">
        <w:rPr>
          <w:rFonts w:ascii="Arial" w:eastAsia="Times New Roman" w:hAnsi="Arial" w:cs="Arial"/>
          <w:sz w:val="22"/>
          <w:szCs w:val="22"/>
        </w:rPr>
        <w:t>Christophe.Finot</w:t>
      </w:r>
      <w:proofErr w:type="spellEnd"/>
      <w:r w:rsidRPr="00B60B81">
        <w:rPr>
          <w:rFonts w:ascii="Arial" w:eastAsia="Times New Roman" w:hAnsi="Arial" w:cs="Arial"/>
          <w:sz w:val="22"/>
          <w:szCs w:val="22"/>
        </w:rPr>
        <w:t xml:space="preserve"> (Travail personnel) [CC-BY-SA-2.5 (http://creativecommons.org/licenses/by-sa/2.5)], via Wikimedia Commons</w:t>
      </w:r>
    </w:p>
    <w:p w14:paraId="7864D17A" w14:textId="77777777" w:rsidR="00B60B81" w:rsidRDefault="00B60B81" w:rsidP="00E762BC">
      <w:pPr>
        <w:rPr>
          <w:rFonts w:ascii="Arial" w:eastAsia="Times New Roman" w:hAnsi="Arial" w:cs="Arial"/>
          <w:sz w:val="22"/>
          <w:szCs w:val="22"/>
        </w:rPr>
      </w:pPr>
    </w:p>
    <w:p w14:paraId="571826D0" w14:textId="7711F68B" w:rsidR="005978A8" w:rsidRPr="00B60B81" w:rsidRDefault="00B60B81">
      <w:pPr>
        <w:rPr>
          <w:rFonts w:ascii="Arial" w:eastAsia="Times New Roman" w:hAnsi="Arial" w:cs="Arial"/>
          <w:sz w:val="22"/>
          <w:szCs w:val="22"/>
        </w:rPr>
      </w:pPr>
      <w:r w:rsidRPr="00B60B81">
        <w:rPr>
          <w:rFonts w:ascii="Arial" w:eastAsia="Times New Roman" w:hAnsi="Arial" w:cs="Arial"/>
          <w:sz w:val="22"/>
          <w:szCs w:val="22"/>
        </w:rPr>
        <w:t xml:space="preserve">By </w:t>
      </w:r>
      <w:proofErr w:type="spellStart"/>
      <w:r w:rsidRPr="00B60B81">
        <w:rPr>
          <w:rFonts w:ascii="Arial" w:eastAsia="Times New Roman" w:hAnsi="Arial" w:cs="Arial"/>
          <w:sz w:val="22"/>
          <w:szCs w:val="22"/>
        </w:rPr>
        <w:t>Titanet</w:t>
      </w:r>
      <w:proofErr w:type="spellEnd"/>
      <w:r w:rsidRPr="00B60B81">
        <w:rPr>
          <w:rFonts w:ascii="Arial" w:eastAsia="Times New Roman" w:hAnsi="Arial" w:cs="Arial"/>
          <w:sz w:val="22"/>
          <w:szCs w:val="22"/>
        </w:rPr>
        <w:t xml:space="preserve"> (Own work) [CC-BY-SA-3.0 (http://creativecommons.org/licenses/by-sa/3.0)], via Wikimedia Commons</w:t>
      </w:r>
      <w:bookmarkStart w:id="0" w:name="_GoBack"/>
      <w:bookmarkEnd w:id="0"/>
    </w:p>
    <w:sectPr w:rsidR="005978A8" w:rsidRPr="00B60B81" w:rsidSect="001D6DD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harlemagne Std Bold">
    <w:panose1 w:val="00000800000000000000"/>
    <w:charset w:val="00"/>
    <w:family w:val="auto"/>
    <w:pitch w:val="variable"/>
    <w:sig w:usb0="800000AF" w:usb1="4000204A"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137"/>
    <w:rsid w:val="00161135"/>
    <w:rsid w:val="001C3D6C"/>
    <w:rsid w:val="001D6DDC"/>
    <w:rsid w:val="001F095C"/>
    <w:rsid w:val="003A5916"/>
    <w:rsid w:val="005978A8"/>
    <w:rsid w:val="005E7ACC"/>
    <w:rsid w:val="006F6F05"/>
    <w:rsid w:val="00750268"/>
    <w:rsid w:val="007F52B8"/>
    <w:rsid w:val="00917CC1"/>
    <w:rsid w:val="00974137"/>
    <w:rsid w:val="00B20BF4"/>
    <w:rsid w:val="00B60B81"/>
    <w:rsid w:val="00D12B20"/>
    <w:rsid w:val="00E762BC"/>
    <w:rsid w:val="00F254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23FE2F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137"/>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78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78A8"/>
    <w:rPr>
      <w:rFonts w:ascii="Lucida Grande" w:hAnsi="Lucida Grande" w:cs="Lucida Grande"/>
      <w:sz w:val="18"/>
      <w:szCs w:val="18"/>
      <w:lang w:eastAsia="en-US"/>
    </w:rPr>
  </w:style>
  <w:style w:type="character" w:customStyle="1" w:styleId="apple-converted-space">
    <w:name w:val="apple-converted-space"/>
    <w:basedOn w:val="DefaultParagraphFont"/>
    <w:rsid w:val="00E762B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137"/>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78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78A8"/>
    <w:rPr>
      <w:rFonts w:ascii="Lucida Grande" w:hAnsi="Lucida Grande" w:cs="Lucida Grande"/>
      <w:sz w:val="18"/>
      <w:szCs w:val="18"/>
      <w:lang w:eastAsia="en-US"/>
    </w:rPr>
  </w:style>
  <w:style w:type="character" w:customStyle="1" w:styleId="apple-converted-space">
    <w:name w:val="apple-converted-space"/>
    <w:basedOn w:val="DefaultParagraphFont"/>
    <w:rsid w:val="00E762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317611">
      <w:bodyDiv w:val="1"/>
      <w:marLeft w:val="0"/>
      <w:marRight w:val="0"/>
      <w:marTop w:val="0"/>
      <w:marBottom w:val="0"/>
      <w:divBdr>
        <w:top w:val="none" w:sz="0" w:space="0" w:color="auto"/>
        <w:left w:val="none" w:sz="0" w:space="0" w:color="auto"/>
        <w:bottom w:val="none" w:sz="0" w:space="0" w:color="auto"/>
        <w:right w:val="none" w:sz="0" w:space="0" w:color="auto"/>
      </w:divBdr>
    </w:div>
    <w:div w:id="695353381">
      <w:bodyDiv w:val="1"/>
      <w:marLeft w:val="0"/>
      <w:marRight w:val="0"/>
      <w:marTop w:val="0"/>
      <w:marBottom w:val="0"/>
      <w:divBdr>
        <w:top w:val="none" w:sz="0" w:space="0" w:color="auto"/>
        <w:left w:val="none" w:sz="0" w:space="0" w:color="auto"/>
        <w:bottom w:val="none" w:sz="0" w:space="0" w:color="auto"/>
        <w:right w:val="none" w:sz="0" w:space="0" w:color="auto"/>
      </w:divBdr>
    </w:div>
    <w:div w:id="776365403">
      <w:bodyDiv w:val="1"/>
      <w:marLeft w:val="0"/>
      <w:marRight w:val="0"/>
      <w:marTop w:val="0"/>
      <w:marBottom w:val="0"/>
      <w:divBdr>
        <w:top w:val="none" w:sz="0" w:space="0" w:color="auto"/>
        <w:left w:val="none" w:sz="0" w:space="0" w:color="auto"/>
        <w:bottom w:val="none" w:sz="0" w:space="0" w:color="auto"/>
        <w:right w:val="none" w:sz="0" w:space="0" w:color="auto"/>
      </w:divBdr>
    </w:div>
    <w:div w:id="832254357">
      <w:bodyDiv w:val="1"/>
      <w:marLeft w:val="0"/>
      <w:marRight w:val="0"/>
      <w:marTop w:val="0"/>
      <w:marBottom w:val="0"/>
      <w:divBdr>
        <w:top w:val="none" w:sz="0" w:space="0" w:color="auto"/>
        <w:left w:val="none" w:sz="0" w:space="0" w:color="auto"/>
        <w:bottom w:val="none" w:sz="0" w:space="0" w:color="auto"/>
        <w:right w:val="none" w:sz="0" w:space="0" w:color="auto"/>
      </w:divBdr>
    </w:div>
    <w:div w:id="1094479090">
      <w:bodyDiv w:val="1"/>
      <w:marLeft w:val="0"/>
      <w:marRight w:val="0"/>
      <w:marTop w:val="0"/>
      <w:marBottom w:val="0"/>
      <w:divBdr>
        <w:top w:val="none" w:sz="0" w:space="0" w:color="auto"/>
        <w:left w:val="none" w:sz="0" w:space="0" w:color="auto"/>
        <w:bottom w:val="none" w:sz="0" w:space="0" w:color="auto"/>
        <w:right w:val="none" w:sz="0" w:space="0" w:color="auto"/>
      </w:divBdr>
    </w:div>
    <w:div w:id="1398358214">
      <w:bodyDiv w:val="1"/>
      <w:marLeft w:val="0"/>
      <w:marRight w:val="0"/>
      <w:marTop w:val="0"/>
      <w:marBottom w:val="0"/>
      <w:divBdr>
        <w:top w:val="none" w:sz="0" w:space="0" w:color="auto"/>
        <w:left w:val="none" w:sz="0" w:space="0" w:color="auto"/>
        <w:bottom w:val="none" w:sz="0" w:space="0" w:color="auto"/>
        <w:right w:val="none" w:sz="0" w:space="0" w:color="auto"/>
      </w:divBdr>
    </w:div>
    <w:div w:id="1416319633">
      <w:bodyDiv w:val="1"/>
      <w:marLeft w:val="0"/>
      <w:marRight w:val="0"/>
      <w:marTop w:val="0"/>
      <w:marBottom w:val="0"/>
      <w:divBdr>
        <w:top w:val="none" w:sz="0" w:space="0" w:color="auto"/>
        <w:left w:val="none" w:sz="0" w:space="0" w:color="auto"/>
        <w:bottom w:val="none" w:sz="0" w:space="0" w:color="auto"/>
        <w:right w:val="none" w:sz="0" w:space="0" w:color="auto"/>
      </w:divBdr>
    </w:div>
    <w:div w:id="1602108919">
      <w:bodyDiv w:val="1"/>
      <w:marLeft w:val="0"/>
      <w:marRight w:val="0"/>
      <w:marTop w:val="0"/>
      <w:marBottom w:val="0"/>
      <w:divBdr>
        <w:top w:val="none" w:sz="0" w:space="0" w:color="auto"/>
        <w:left w:val="none" w:sz="0" w:space="0" w:color="auto"/>
        <w:bottom w:val="none" w:sz="0" w:space="0" w:color="auto"/>
        <w:right w:val="none" w:sz="0" w:space="0" w:color="auto"/>
      </w:divBdr>
    </w:div>
    <w:div w:id="1674994107">
      <w:bodyDiv w:val="1"/>
      <w:marLeft w:val="0"/>
      <w:marRight w:val="0"/>
      <w:marTop w:val="0"/>
      <w:marBottom w:val="0"/>
      <w:divBdr>
        <w:top w:val="none" w:sz="0" w:space="0" w:color="auto"/>
        <w:left w:val="none" w:sz="0" w:space="0" w:color="auto"/>
        <w:bottom w:val="none" w:sz="0" w:space="0" w:color="auto"/>
        <w:right w:val="none" w:sz="0" w:space="0" w:color="auto"/>
      </w:divBdr>
    </w:div>
    <w:div w:id="19473432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1012</Words>
  <Characters>5769</Characters>
  <Application>Microsoft Macintosh Word</Application>
  <DocSecurity>0</DocSecurity>
  <Lines>48</Lines>
  <Paragraphs>13</Paragraphs>
  <ScaleCrop>false</ScaleCrop>
  <Company/>
  <LinksUpToDate>false</LinksUpToDate>
  <CharactersWithSpaces>6768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Site License</dc:creator>
  <cp:keywords/>
  <dc:description/>
  <cp:lastModifiedBy>Site License</cp:lastModifiedBy>
  <cp:revision>10</cp:revision>
  <dcterms:created xsi:type="dcterms:W3CDTF">2014-11-26T19:15:00Z</dcterms:created>
  <dcterms:modified xsi:type="dcterms:W3CDTF">2014-11-26T20:05:00Z</dcterms:modified>
</cp:coreProperties>
</file>